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93499" w14:textId="7F79C406" w:rsidR="001050E1" w:rsidRPr="005440D2" w:rsidRDefault="001050E1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ROMÂNIA</w:t>
      </w:r>
    </w:p>
    <w:p w14:paraId="5BAA0C74" w14:textId="0578F0C4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JUDEŢUL SATU MARE</w:t>
      </w:r>
    </w:p>
    <w:p w14:paraId="25ACA133" w14:textId="77777777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CONSILIUL JUDEŢEAN </w:t>
      </w:r>
    </w:p>
    <w:p w14:paraId="1DA61081" w14:textId="5652CA80" w:rsidR="007179FC" w:rsidRPr="005440D2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Serviciul </w:t>
      </w:r>
      <w:r w:rsidR="00A733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managementul resurselor umane</w:t>
      </w:r>
    </w:p>
    <w:p w14:paraId="0789DA02" w14:textId="3F34BABD" w:rsidR="007179FC" w:rsidRDefault="007179FC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Nr._______/______2024</w:t>
      </w:r>
    </w:p>
    <w:p w14:paraId="2F981CBC" w14:textId="77777777" w:rsidR="00BD50D7" w:rsidRPr="005440D2" w:rsidRDefault="00BD50D7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4E7D21DE" w14:textId="1397D500" w:rsidR="007179FC" w:rsidRPr="005440D2" w:rsidRDefault="007179FC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RAPORT DE SPECIALITATE</w:t>
      </w:r>
    </w:p>
    <w:p w14:paraId="51268797" w14:textId="5CE6E227" w:rsidR="003578EF" w:rsidRPr="005440D2" w:rsidRDefault="00C87552" w:rsidP="003578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bookmarkStart w:id="0" w:name="_Hlk177723370"/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195923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Statului de funcții </w:t>
      </w:r>
    </w:p>
    <w:p w14:paraId="00DCD33E" w14:textId="6E2B905B" w:rsidR="00C87552" w:rsidRDefault="00C87552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</w:t>
      </w:r>
      <w:r w:rsidR="003578EF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aparatului de specialitate al 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Consiliului Județean Satu Mare</w:t>
      </w:r>
    </w:p>
    <w:bookmarkEnd w:id="0"/>
    <w:p w14:paraId="4BFD7B13" w14:textId="77777777" w:rsidR="007179FC" w:rsidRDefault="007179FC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2AE3C0F" w14:textId="77777777" w:rsidR="003578EF" w:rsidRPr="00AE50BA" w:rsidRDefault="003578EF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7A072D" w14:textId="16E85B3B" w:rsidR="004D26A6" w:rsidRDefault="004D26A6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1" w:name="_Hlk185335713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condițiile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legii, la propunerea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președintelui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a regulamentului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organigrama, statul de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regulamentul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aparatului de specialitate al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precum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instituțiilor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publice de interes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213EAFF6" w14:textId="63E9DF14" w:rsidR="00254EE5" w:rsidRDefault="00801011" w:rsidP="0080101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         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 Prin adresa nr. </w:t>
      </w:r>
      <w:r w:rsidR="009436C5" w:rsidRPr="009436C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27288/06.12.2024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Direcția </w:t>
      </w:r>
      <w:r w:rsidR="009436C5" w:rsidRPr="009436C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Tehnic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ă din cadrul Consiliului Județean Satu Mare solicită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tranformarea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unui post vacant </w:t>
      </w:r>
      <w:r w:rsidR="009436C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de consilier</w:t>
      </w:r>
      <w:r w:rsidR="00FD1269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="009436C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grad profesional </w:t>
      </w:r>
      <w:r w:rsidR="009436C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superior clasa I, studii superioare 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din cadrul </w:t>
      </w:r>
      <w:r w:rsidR="009436C5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ompartimentului </w:t>
      </w:r>
      <w:r w:rsidR="009436C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Drumuri – Serviciul Drumuri și Transporturi al Direcției Tehnice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poziția nr. 150 în Statul de funcții al Consiliului Județean Satu Mare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  <w:r w:rsidR="009436C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Postul s-a </w:t>
      </w:r>
      <w:proofErr w:type="spellStart"/>
      <w:r w:rsidR="009436C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vacantat</w:t>
      </w:r>
      <w:proofErr w:type="spellEnd"/>
      <w:r w:rsidR="009436C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ca urmare a încetării de drept a raportului de serviciu al unui funcționar public, ca urmare a pensionării acestuia. </w:t>
      </w:r>
    </w:p>
    <w:p w14:paraId="2C12A6F2" w14:textId="4A59A64E" w:rsidR="00254EE5" w:rsidRDefault="009436C5" w:rsidP="00254EE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Având în vedere faptul că la nivelul Compartimentului Drumuri, Serviciul Drumuri și Transporturi mai sunt 2 posturi vacante de consilier</w:t>
      </w:r>
      <w:r w:rsid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grad profesional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superior, pentru care 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s-a organizat concurs de </w:t>
      </w:r>
      <w:r w:rsid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recrutare în vederea ocupării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posturilor vacante 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de mai multe ori, dar la care nu s-a prezentat niciun candidat și luând în considerare necesitatea asigurării activităților specifice Compartimentului Drumuri, se propune transformarea funcției publice vacante de consilier</w:t>
      </w:r>
      <w:r w:rsidR="00FD126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grad profesional 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superior, studii superioare, în funcția publică de consilier</w:t>
      </w:r>
      <w:r w:rsidR="00FD126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="00EA7D87" w:rsidRP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EA7D8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grad profesional</w:t>
      </w:r>
      <w:r w:rsidR="00254EE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asistent, studii superioare,</w:t>
      </w:r>
      <w:r w:rsidR="00254EE5" w:rsidRPr="00254EE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</w:t>
      </w:r>
      <w:r w:rsidR="00254EE5" w:rsidRPr="00EB2D2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în </w:t>
      </w:r>
      <w:r w:rsidR="00254EE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vederea asigurării unei mai mari accesibilităţi pentru acest post, prin reducerea condițiilor specifice de ocupare a postului.</w:t>
      </w:r>
    </w:p>
    <w:p w14:paraId="3CB74899" w14:textId="6C4DCF55" w:rsidR="00BD50D7" w:rsidRDefault="00BD50D7" w:rsidP="00254EE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De asemenea este necesară transformarea funcției contractuale vacante de consilier</w:t>
      </w:r>
      <w:r w:rsidR="00FD1269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,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</w:t>
      </w:r>
      <w:r w:rsidR="00FD126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grad profesional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II, studii superioare, din cadrul Compartimentului Monitorul Oficial din cadrul Direcției Juridice, în funcția contractuală vacantă de consilier</w:t>
      </w:r>
      <w:r w:rsidR="00EA7D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, grad profesional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IA, studii superioare.</w:t>
      </w:r>
    </w:p>
    <w:p w14:paraId="16037A7A" w14:textId="132E906E" w:rsidR="0019510C" w:rsidRPr="00B93065" w:rsidRDefault="0019510C" w:rsidP="00B9306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</w:pPr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Raportat la</w:t>
      </w:r>
      <w:bookmarkStart w:id="2" w:name="_Hlk170200493"/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Hotărârea Consiliului Județean Satu Mare nr. </w:t>
      </w:r>
      <w:r w:rsidR="003528B7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1</w:t>
      </w:r>
      <w:r w:rsidR="00254EE5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5</w:t>
      </w:r>
      <w:r w:rsidR="003578EF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3</w:t>
      </w:r>
      <w:r w:rsidR="003528B7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/2024 </w:t>
      </w:r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</w:t>
      </w:r>
      <w:r w:rsidR="003528B7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privind</w:t>
      </w:r>
      <w:r w:rsidR="003578EF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modificarea</w:t>
      </w:r>
      <w:r w:rsidR="003528B7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Statului de funcții al aparatului de specialitate ale Consiliului Județean Satu Mare</w:t>
      </w:r>
      <w:r w:rsidR="00BD50D7"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,</w:t>
      </w:r>
    </w:p>
    <w:p w14:paraId="0BC8B029" w14:textId="77777777" w:rsidR="00BD50D7" w:rsidRPr="00B93065" w:rsidRDefault="00BD50D7" w:rsidP="00B9306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</w:pPr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ținând cont de următoarele prevederi legislative:</w:t>
      </w:r>
    </w:p>
    <w:p w14:paraId="298F0894" w14:textId="462857DE" w:rsidR="00B93065" w:rsidRPr="00B93065" w:rsidRDefault="00B93065" w:rsidP="00B9306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</w:pPr>
      <w:bookmarkStart w:id="3" w:name="_Hlk85700630"/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-Ordonanța de Urgență a Guvernului nr.57/2019 privind Codul administrativ, cu modificările și completările ulterioare,</w:t>
      </w:r>
    </w:p>
    <w:p w14:paraId="6F48E962" w14:textId="008F8811" w:rsidR="00B93065" w:rsidRPr="00B93065" w:rsidRDefault="00B93065" w:rsidP="00B9306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</w:pPr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- Legii </w:t>
      </w:r>
      <w:r w:rsidR="00EA7D8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-</w:t>
      </w:r>
      <w:r w:rsidRPr="00B9306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cadru nr.153/2017 privind salarizarea personalului plătit din fonduri publice, cu modificările și completările ulterioare;</w:t>
      </w:r>
    </w:p>
    <w:bookmarkEnd w:id="1"/>
    <w:bookmarkEnd w:id="3"/>
    <w:p w14:paraId="52254779" w14:textId="77777777" w:rsidR="00BD50D7" w:rsidRPr="00B93065" w:rsidRDefault="00BD50D7" w:rsidP="00B93065">
      <w:pPr>
        <w:pStyle w:val="BodyText3"/>
        <w:spacing w:after="0"/>
        <w:ind w:firstLine="720"/>
        <w:contextualSpacing/>
        <w:jc w:val="both"/>
        <w:rPr>
          <w:rFonts w:eastAsia="Calibri"/>
          <w:sz w:val="24"/>
          <w:szCs w:val="24"/>
          <w:lang w:val="ro-RO"/>
        </w:rPr>
      </w:pPr>
      <w:r w:rsidRPr="00B93065">
        <w:rPr>
          <w:rFonts w:eastAsia="Calibri"/>
          <w:sz w:val="24"/>
          <w:szCs w:val="24"/>
          <w:lang w:val="ro-RO"/>
        </w:rPr>
        <w:t xml:space="preserve">se propun următoarele modificări în cadrul Statului de </w:t>
      </w:r>
      <w:proofErr w:type="spellStart"/>
      <w:r w:rsidRPr="00B93065">
        <w:rPr>
          <w:rFonts w:eastAsia="Calibri"/>
          <w:sz w:val="24"/>
          <w:szCs w:val="24"/>
          <w:lang w:val="ro-RO"/>
        </w:rPr>
        <w:t>funcţii</w:t>
      </w:r>
      <w:proofErr w:type="spellEnd"/>
      <w:r w:rsidRPr="00B93065">
        <w:rPr>
          <w:rFonts w:eastAsia="Calibri"/>
          <w:sz w:val="24"/>
          <w:szCs w:val="24"/>
          <w:lang w:val="ro-RO"/>
        </w:rPr>
        <w:t xml:space="preserve">: </w:t>
      </w:r>
    </w:p>
    <w:p w14:paraId="7B33C7D7" w14:textId="77777777" w:rsidR="00BD50D7" w:rsidRPr="00B93065" w:rsidRDefault="00BD50D7" w:rsidP="00BD50D7">
      <w:pPr>
        <w:pStyle w:val="BodyText3"/>
        <w:contextualSpacing/>
        <w:jc w:val="both"/>
        <w:rPr>
          <w:rFonts w:eastAsia="Calibri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790"/>
        <w:gridCol w:w="2757"/>
      </w:tblGrid>
      <w:tr w:rsidR="00BD50D7" w14:paraId="5288788E" w14:textId="77777777" w:rsidTr="00863521">
        <w:tc>
          <w:tcPr>
            <w:tcW w:w="1795" w:type="dxa"/>
          </w:tcPr>
          <w:p w14:paraId="0C868FF9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Nr. poziție în Statul de funcții</w:t>
            </w:r>
          </w:p>
        </w:tc>
        <w:tc>
          <w:tcPr>
            <w:tcW w:w="2250" w:type="dxa"/>
          </w:tcPr>
          <w:p w14:paraId="214E0984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Denumirea funcției existente</w:t>
            </w:r>
          </w:p>
        </w:tc>
        <w:tc>
          <w:tcPr>
            <w:tcW w:w="2790" w:type="dxa"/>
          </w:tcPr>
          <w:p w14:paraId="49CFE06C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Modificarea propusă</w:t>
            </w:r>
          </w:p>
        </w:tc>
        <w:tc>
          <w:tcPr>
            <w:tcW w:w="2757" w:type="dxa"/>
          </w:tcPr>
          <w:p w14:paraId="46E17669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Denumirea funcției după modificare</w:t>
            </w:r>
          </w:p>
        </w:tc>
      </w:tr>
      <w:tr w:rsidR="00A67857" w14:paraId="0C825699" w14:textId="77777777" w:rsidTr="00863521">
        <w:tc>
          <w:tcPr>
            <w:tcW w:w="1795" w:type="dxa"/>
          </w:tcPr>
          <w:p w14:paraId="5885B454" w14:textId="5F2B4B49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76</w:t>
            </w:r>
          </w:p>
        </w:tc>
        <w:tc>
          <w:tcPr>
            <w:tcW w:w="2250" w:type="dxa"/>
          </w:tcPr>
          <w:p w14:paraId="1C63E511" w14:textId="1B3A4022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proofErr w:type="gram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 </w:t>
            </w:r>
            <w:r>
              <w:rPr>
                <w:rFonts w:eastAsia="Calibri"/>
                <w:bCs/>
                <w:sz w:val="24"/>
                <w:szCs w:val="24"/>
              </w:rPr>
              <w:t>I</w:t>
            </w:r>
            <w:r w:rsidR="00EA7D87">
              <w:rPr>
                <w:rFonts w:eastAsia="Calibri"/>
                <w:bCs/>
                <w:sz w:val="24"/>
                <w:szCs w:val="24"/>
              </w:rPr>
              <w:t>I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582D7C">
              <w:rPr>
                <w:rFonts w:eastAsia="Calibri"/>
                <w:bCs/>
                <w:sz w:val="24"/>
                <w:szCs w:val="24"/>
              </w:rPr>
              <w:t>S</w:t>
            </w:r>
          </w:p>
        </w:tc>
        <w:tc>
          <w:tcPr>
            <w:tcW w:w="2790" w:type="dxa"/>
            <w:vMerge w:val="restart"/>
          </w:tcPr>
          <w:p w14:paraId="4A268728" w14:textId="77777777" w:rsidR="003E0053" w:rsidRDefault="003E0053" w:rsidP="003E0053">
            <w:pPr>
              <w:pStyle w:val="BodyText3"/>
              <w:spacing w:after="100" w:afterAutospacing="1"/>
              <w:ind w:hanging="14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3F577BE4" w14:textId="36613477" w:rsidR="00A67857" w:rsidRPr="00CA25CF" w:rsidRDefault="00A67857" w:rsidP="003E0053">
            <w:pPr>
              <w:pStyle w:val="BodyText3"/>
              <w:spacing w:after="100" w:afterAutospacing="1"/>
              <w:ind w:hanging="14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Transformare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post vacant</w:t>
            </w:r>
          </w:p>
        </w:tc>
        <w:tc>
          <w:tcPr>
            <w:tcW w:w="2757" w:type="dxa"/>
          </w:tcPr>
          <w:p w14:paraId="1A38B4F2" w14:textId="15D1380E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IA S</w:t>
            </w:r>
          </w:p>
        </w:tc>
      </w:tr>
      <w:tr w:rsidR="00A67857" w14:paraId="2625E539" w14:textId="77777777" w:rsidTr="00863521">
        <w:tc>
          <w:tcPr>
            <w:tcW w:w="1795" w:type="dxa"/>
          </w:tcPr>
          <w:p w14:paraId="7F40E546" w14:textId="7229D503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val="ro-RO"/>
              </w:rPr>
              <w:t>150</w:t>
            </w:r>
          </w:p>
        </w:tc>
        <w:tc>
          <w:tcPr>
            <w:tcW w:w="2250" w:type="dxa"/>
          </w:tcPr>
          <w:p w14:paraId="77A8A962" w14:textId="4E444509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superior </w:t>
            </w:r>
            <w:r w:rsidRPr="00582D7C">
              <w:rPr>
                <w:rFonts w:eastAsia="Calibri"/>
                <w:bCs/>
                <w:sz w:val="24"/>
                <w:szCs w:val="24"/>
              </w:rPr>
              <w:t>S</w:t>
            </w:r>
          </w:p>
        </w:tc>
        <w:tc>
          <w:tcPr>
            <w:tcW w:w="2790" w:type="dxa"/>
            <w:vMerge/>
          </w:tcPr>
          <w:p w14:paraId="1FD32FAC" w14:textId="03478464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57" w:type="dxa"/>
          </w:tcPr>
          <w:p w14:paraId="03D89056" w14:textId="2DDE3CA1" w:rsidR="00A67857" w:rsidRPr="00CA25CF" w:rsidRDefault="00A6785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asistent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S</w:t>
            </w:r>
          </w:p>
        </w:tc>
      </w:tr>
    </w:tbl>
    <w:p w14:paraId="1DEA3996" w14:textId="77777777" w:rsidR="00BD50D7" w:rsidRDefault="00BD50D7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63602EDF" w14:textId="7F15DEE4" w:rsidR="00020106" w:rsidRPr="005440D2" w:rsidRDefault="00A67857" w:rsidP="00BD50D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4" w:name="_Hlk152846067"/>
      <w:bookmarkEnd w:id="2"/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       P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entru motivele și considerentele mai sus arătate 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este necesară modificarea 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Statul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de funcții al aparatului de specialitate al Consiliului Județean Satu Mare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bookmarkEnd w:id="4"/>
    <w:p w14:paraId="3FAC45DF" w14:textId="2013F718" w:rsidR="0033401C" w:rsidRPr="0033401C" w:rsidRDefault="00BF2E32" w:rsidP="0033401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temeiul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prevederilor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art. 182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(4) cu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trimitere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cele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ale art. 136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(8) </w:t>
      </w:r>
      <w:proofErr w:type="spellStart"/>
      <w:proofErr w:type="gramStart"/>
      <w:r w:rsidRPr="0033401C">
        <w:rPr>
          <w:rFonts w:ascii="Times New Roman" w:hAnsi="Times New Roman" w:cs="Times New Roman"/>
          <w:iCs/>
          <w:sz w:val="24"/>
          <w:szCs w:val="24"/>
        </w:rPr>
        <w:t>lit.b</w:t>
      </w:r>
      <w:proofErr w:type="spellEnd"/>
      <w:proofErr w:type="gram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(10) din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Ordonanța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urgență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Guvernului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nr. 57/2019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privind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Codul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administrativ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modificările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completările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ulterioare</w:t>
      </w:r>
      <w:proofErr w:type="spellEnd"/>
      <w:r w:rsidR="00801011">
        <w:rPr>
          <w:rFonts w:ascii="Times New Roman" w:hAnsi="Times New Roman" w:cs="Times New Roman"/>
          <w:iCs/>
          <w:sz w:val="24"/>
          <w:szCs w:val="24"/>
        </w:rPr>
        <w:t>,</w:t>
      </w:r>
    </w:p>
    <w:p w14:paraId="76A70276" w14:textId="77777777" w:rsidR="00801011" w:rsidRDefault="00801011" w:rsidP="008F556C">
      <w:pPr>
        <w:autoSpaceDE w:val="0"/>
        <w:autoSpaceDN w:val="0"/>
        <w:adjustRightInd w:val="0"/>
        <w:spacing w:after="0" w:line="276" w:lineRule="auto"/>
        <w:jc w:val="center"/>
        <w:rPr>
          <w:iCs/>
        </w:rPr>
      </w:pPr>
    </w:p>
    <w:p w14:paraId="761BEEB9" w14:textId="4F0153E7" w:rsidR="00020106" w:rsidRPr="005440D2" w:rsidRDefault="00020106" w:rsidP="008F556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PROPUNEM:</w:t>
      </w:r>
    </w:p>
    <w:p w14:paraId="18C363FE" w14:textId="06654DD9" w:rsidR="00C87552" w:rsidRPr="005440D2" w:rsidRDefault="00020106" w:rsidP="00EB2D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adoptarea Proiectului de hotărâre </w:t>
      </w:r>
      <w:r w:rsidR="00C87552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AE50BA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="00C87552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Statului de funcții </w:t>
      </w:r>
    </w:p>
    <w:p w14:paraId="243322DB" w14:textId="2B73E38E" w:rsidR="00C87552" w:rsidRPr="005440D2" w:rsidRDefault="00C87552" w:rsidP="008F556C">
      <w:pPr>
        <w:spacing w:after="0" w:line="276" w:lineRule="auto"/>
        <w:jc w:val="center"/>
        <w:rPr>
          <w:rFonts w:ascii="Times New Roman" w:eastAsia="Aptos" w:hAnsi="Times New Roman" w:cs="Times New Roman"/>
          <w:sz w:val="24"/>
          <w:szCs w:val="24"/>
          <w:lang w:val="ro-RO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 aparatului de specialitate ale Consiliului Județean Satu Mare</w:t>
      </w:r>
    </w:p>
    <w:p w14:paraId="747BA3A8" w14:textId="77777777" w:rsidR="002F328E" w:rsidRDefault="002F328E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749C025F" w14:textId="77777777" w:rsidR="00801011" w:rsidRPr="00AE50BA" w:rsidRDefault="00801011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1B71CA1A" w14:textId="77777777" w:rsidR="00020106" w:rsidRPr="005440D2" w:rsidRDefault="00020106" w:rsidP="008F556C">
      <w:pPr>
        <w:spacing w:after="0" w:line="276" w:lineRule="auto"/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spacing w:val="-10"/>
          <w:kern w:val="0"/>
          <w:sz w:val="24"/>
          <w:szCs w:val="24"/>
          <w:lang w:val="ro-RO"/>
          <w14:ligatures w14:val="none"/>
        </w:rPr>
        <w:t xml:space="preserve">                             </w:t>
      </w: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ŞEF SERVICIU,                                                  </w:t>
      </w:r>
      <w:r w:rsidRPr="005440D2"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  <w:t xml:space="preserve">VIZAT JURIDIC, </w:t>
      </w:r>
    </w:p>
    <w:p w14:paraId="776305DC" w14:textId="230C3B5C" w:rsidR="00020106" w:rsidRPr="005440D2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       </w:t>
      </w:r>
      <w:proofErr w:type="spellStart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Bîja</w:t>
      </w:r>
      <w:proofErr w:type="spellEnd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Tania                                                      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r w:rsidR="00AE50B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</w:t>
      </w:r>
      <w:proofErr w:type="spellStart"/>
      <w:r w:rsidR="0080101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Bodó</w:t>
      </w:r>
      <w:proofErr w:type="spellEnd"/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Nicoleta </w:t>
      </w:r>
    </w:p>
    <w:sectPr w:rsidR="00020106" w:rsidRPr="005440D2" w:rsidSect="00801011">
      <w:footerReference w:type="default" r:id="rId8"/>
      <w:pgSz w:w="12240" w:h="15840"/>
      <w:pgMar w:top="45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EBDD1" w14:textId="77777777" w:rsidR="00164D49" w:rsidRDefault="00164D49" w:rsidP="008669A8">
      <w:pPr>
        <w:spacing w:after="0" w:line="240" w:lineRule="auto"/>
      </w:pPr>
      <w:r>
        <w:separator/>
      </w:r>
    </w:p>
  </w:endnote>
  <w:endnote w:type="continuationSeparator" w:id="0">
    <w:p w14:paraId="0E3FDEC8" w14:textId="77777777" w:rsidR="00164D49" w:rsidRDefault="00164D49" w:rsidP="0086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C66D" w14:textId="7B0493FE" w:rsidR="008669A8" w:rsidRPr="008669A8" w:rsidRDefault="008669A8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ADA8B" w14:textId="77777777" w:rsidR="00164D49" w:rsidRDefault="00164D49" w:rsidP="008669A8">
      <w:pPr>
        <w:spacing w:after="0" w:line="240" w:lineRule="auto"/>
      </w:pPr>
      <w:r>
        <w:separator/>
      </w:r>
    </w:p>
  </w:footnote>
  <w:footnote w:type="continuationSeparator" w:id="0">
    <w:p w14:paraId="3A2D5D65" w14:textId="77777777" w:rsidR="00164D49" w:rsidRDefault="00164D49" w:rsidP="0086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A38A6"/>
    <w:multiLevelType w:val="hybridMultilevel"/>
    <w:tmpl w:val="ABB4B5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C5FAB"/>
    <w:multiLevelType w:val="hybridMultilevel"/>
    <w:tmpl w:val="EEB2E7A4"/>
    <w:lvl w:ilvl="0" w:tplc="E1D664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689511">
    <w:abstractNumId w:val="0"/>
  </w:num>
  <w:num w:numId="2" w16cid:durableId="2135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A"/>
    <w:rsid w:val="00017D87"/>
    <w:rsid w:val="00020106"/>
    <w:rsid w:val="000206AF"/>
    <w:rsid w:val="00032B58"/>
    <w:rsid w:val="00033146"/>
    <w:rsid w:val="00042C8D"/>
    <w:rsid w:val="00044750"/>
    <w:rsid w:val="000551B8"/>
    <w:rsid w:val="000575EE"/>
    <w:rsid w:val="00075243"/>
    <w:rsid w:val="00077D7B"/>
    <w:rsid w:val="00080AF9"/>
    <w:rsid w:val="00083BDA"/>
    <w:rsid w:val="00092658"/>
    <w:rsid w:val="00092C02"/>
    <w:rsid w:val="000B191F"/>
    <w:rsid w:val="000E5944"/>
    <w:rsid w:val="000F0D7A"/>
    <w:rsid w:val="001050E1"/>
    <w:rsid w:val="00135768"/>
    <w:rsid w:val="001440AC"/>
    <w:rsid w:val="0014531E"/>
    <w:rsid w:val="001524EA"/>
    <w:rsid w:val="00164D49"/>
    <w:rsid w:val="00165BE9"/>
    <w:rsid w:val="0017791C"/>
    <w:rsid w:val="00193464"/>
    <w:rsid w:val="0019510C"/>
    <w:rsid w:val="00195923"/>
    <w:rsid w:val="001B6A11"/>
    <w:rsid w:val="001C7F49"/>
    <w:rsid w:val="001E0E66"/>
    <w:rsid w:val="001E1A6E"/>
    <w:rsid w:val="001E45B2"/>
    <w:rsid w:val="001E5F47"/>
    <w:rsid w:val="001F75EC"/>
    <w:rsid w:val="00201325"/>
    <w:rsid w:val="00230D71"/>
    <w:rsid w:val="00235A70"/>
    <w:rsid w:val="00254548"/>
    <w:rsid w:val="00254EE5"/>
    <w:rsid w:val="00256D2D"/>
    <w:rsid w:val="00263A86"/>
    <w:rsid w:val="00274298"/>
    <w:rsid w:val="00284D32"/>
    <w:rsid w:val="002B6A3E"/>
    <w:rsid w:val="002C3E4E"/>
    <w:rsid w:val="002F328E"/>
    <w:rsid w:val="0031168B"/>
    <w:rsid w:val="00321702"/>
    <w:rsid w:val="0033401C"/>
    <w:rsid w:val="003446BB"/>
    <w:rsid w:val="003455D9"/>
    <w:rsid w:val="003478DF"/>
    <w:rsid w:val="003528B7"/>
    <w:rsid w:val="003578EF"/>
    <w:rsid w:val="00365327"/>
    <w:rsid w:val="003727EC"/>
    <w:rsid w:val="00382E18"/>
    <w:rsid w:val="00387C30"/>
    <w:rsid w:val="0039017F"/>
    <w:rsid w:val="0039381B"/>
    <w:rsid w:val="003B7FBD"/>
    <w:rsid w:val="003D603B"/>
    <w:rsid w:val="003E0053"/>
    <w:rsid w:val="003E4249"/>
    <w:rsid w:val="003F1200"/>
    <w:rsid w:val="00400BA9"/>
    <w:rsid w:val="004323C1"/>
    <w:rsid w:val="00436DFC"/>
    <w:rsid w:val="004556D2"/>
    <w:rsid w:val="0046772D"/>
    <w:rsid w:val="00486686"/>
    <w:rsid w:val="00491C60"/>
    <w:rsid w:val="004D26A6"/>
    <w:rsid w:val="00502F6D"/>
    <w:rsid w:val="00511DC0"/>
    <w:rsid w:val="005440D2"/>
    <w:rsid w:val="005526DD"/>
    <w:rsid w:val="00570C42"/>
    <w:rsid w:val="005B1E1D"/>
    <w:rsid w:val="005D62DD"/>
    <w:rsid w:val="00602D01"/>
    <w:rsid w:val="00624695"/>
    <w:rsid w:val="00642CC9"/>
    <w:rsid w:val="00655B2F"/>
    <w:rsid w:val="006623A7"/>
    <w:rsid w:val="00663ACE"/>
    <w:rsid w:val="006645FE"/>
    <w:rsid w:val="00676F2A"/>
    <w:rsid w:val="006A0D48"/>
    <w:rsid w:val="006B2980"/>
    <w:rsid w:val="006B3599"/>
    <w:rsid w:val="006D4C0D"/>
    <w:rsid w:val="006D682D"/>
    <w:rsid w:val="006E4F17"/>
    <w:rsid w:val="007179FC"/>
    <w:rsid w:val="00733253"/>
    <w:rsid w:val="00740C14"/>
    <w:rsid w:val="00757F46"/>
    <w:rsid w:val="007873C8"/>
    <w:rsid w:val="00801011"/>
    <w:rsid w:val="00806250"/>
    <w:rsid w:val="00825740"/>
    <w:rsid w:val="00842C68"/>
    <w:rsid w:val="008447C3"/>
    <w:rsid w:val="008504FB"/>
    <w:rsid w:val="0085109A"/>
    <w:rsid w:val="00857EB5"/>
    <w:rsid w:val="008669A8"/>
    <w:rsid w:val="008740A4"/>
    <w:rsid w:val="008D1E52"/>
    <w:rsid w:val="008D1EDE"/>
    <w:rsid w:val="008F556C"/>
    <w:rsid w:val="00912D66"/>
    <w:rsid w:val="00935828"/>
    <w:rsid w:val="009436C5"/>
    <w:rsid w:val="0094385F"/>
    <w:rsid w:val="00954599"/>
    <w:rsid w:val="009663DF"/>
    <w:rsid w:val="009A506F"/>
    <w:rsid w:val="009C6F1B"/>
    <w:rsid w:val="009E20D5"/>
    <w:rsid w:val="009F0AB0"/>
    <w:rsid w:val="00A37CBF"/>
    <w:rsid w:val="00A41345"/>
    <w:rsid w:val="00A61E47"/>
    <w:rsid w:val="00A67857"/>
    <w:rsid w:val="00A733C3"/>
    <w:rsid w:val="00A95A39"/>
    <w:rsid w:val="00AB1323"/>
    <w:rsid w:val="00AC2C56"/>
    <w:rsid w:val="00AC6AC5"/>
    <w:rsid w:val="00AD5C5C"/>
    <w:rsid w:val="00AD7C91"/>
    <w:rsid w:val="00AE1F98"/>
    <w:rsid w:val="00AE50BA"/>
    <w:rsid w:val="00AE727C"/>
    <w:rsid w:val="00AF0D75"/>
    <w:rsid w:val="00B04441"/>
    <w:rsid w:val="00B07EE8"/>
    <w:rsid w:val="00B45A5C"/>
    <w:rsid w:val="00B650E1"/>
    <w:rsid w:val="00B74541"/>
    <w:rsid w:val="00B82F39"/>
    <w:rsid w:val="00B837BF"/>
    <w:rsid w:val="00B86938"/>
    <w:rsid w:val="00B86A2D"/>
    <w:rsid w:val="00B93065"/>
    <w:rsid w:val="00B95A8A"/>
    <w:rsid w:val="00BB595D"/>
    <w:rsid w:val="00BC7D05"/>
    <w:rsid w:val="00BD0DDB"/>
    <w:rsid w:val="00BD50D7"/>
    <w:rsid w:val="00BD6824"/>
    <w:rsid w:val="00BE527D"/>
    <w:rsid w:val="00BF2E32"/>
    <w:rsid w:val="00BF3315"/>
    <w:rsid w:val="00C02324"/>
    <w:rsid w:val="00C04489"/>
    <w:rsid w:val="00C1637F"/>
    <w:rsid w:val="00C20E58"/>
    <w:rsid w:val="00C35540"/>
    <w:rsid w:val="00C366FA"/>
    <w:rsid w:val="00C70AF9"/>
    <w:rsid w:val="00C83D2D"/>
    <w:rsid w:val="00C87552"/>
    <w:rsid w:val="00CB7F88"/>
    <w:rsid w:val="00CC1D2A"/>
    <w:rsid w:val="00CD16F4"/>
    <w:rsid w:val="00CD2027"/>
    <w:rsid w:val="00CD6280"/>
    <w:rsid w:val="00D04EA2"/>
    <w:rsid w:val="00D05E86"/>
    <w:rsid w:val="00D25082"/>
    <w:rsid w:val="00D34526"/>
    <w:rsid w:val="00D46E03"/>
    <w:rsid w:val="00D64948"/>
    <w:rsid w:val="00D726F6"/>
    <w:rsid w:val="00D8324D"/>
    <w:rsid w:val="00D84EEC"/>
    <w:rsid w:val="00D85F3D"/>
    <w:rsid w:val="00D8693C"/>
    <w:rsid w:val="00D9030B"/>
    <w:rsid w:val="00DA4987"/>
    <w:rsid w:val="00DC00BD"/>
    <w:rsid w:val="00DD043C"/>
    <w:rsid w:val="00DD6AEE"/>
    <w:rsid w:val="00DF46D2"/>
    <w:rsid w:val="00E03108"/>
    <w:rsid w:val="00E1405E"/>
    <w:rsid w:val="00E1673E"/>
    <w:rsid w:val="00E22A4D"/>
    <w:rsid w:val="00E2643C"/>
    <w:rsid w:val="00E3627E"/>
    <w:rsid w:val="00E50E3A"/>
    <w:rsid w:val="00E57F0B"/>
    <w:rsid w:val="00E73E5D"/>
    <w:rsid w:val="00EA7D87"/>
    <w:rsid w:val="00EB2D2F"/>
    <w:rsid w:val="00EB51FD"/>
    <w:rsid w:val="00ED0F42"/>
    <w:rsid w:val="00ED364D"/>
    <w:rsid w:val="00F2767E"/>
    <w:rsid w:val="00F51DF7"/>
    <w:rsid w:val="00F523E7"/>
    <w:rsid w:val="00F60B2B"/>
    <w:rsid w:val="00F7032C"/>
    <w:rsid w:val="00FA2372"/>
    <w:rsid w:val="00FC646C"/>
    <w:rsid w:val="00FD1269"/>
    <w:rsid w:val="00FE492E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22C2"/>
  <w15:chartTrackingRefBased/>
  <w15:docId w15:val="{131C4A3E-1934-4FE3-89E8-AFF8AF1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A39"/>
  </w:style>
  <w:style w:type="paragraph" w:styleId="Heading1">
    <w:name w:val="heading 1"/>
    <w:basedOn w:val="Normal"/>
    <w:next w:val="Normal"/>
    <w:link w:val="Heading1Char"/>
    <w:uiPriority w:val="9"/>
    <w:qFormat/>
    <w:rsid w:val="00B9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A8"/>
  </w:style>
  <w:style w:type="paragraph" w:styleId="Footer">
    <w:name w:val="footer"/>
    <w:basedOn w:val="Normal"/>
    <w:link w:val="Foot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A8"/>
  </w:style>
  <w:style w:type="paragraph" w:styleId="BodyText3">
    <w:name w:val="Body Text 3"/>
    <w:basedOn w:val="Normal"/>
    <w:link w:val="BodyText3Char"/>
    <w:rsid w:val="00801011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801011"/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D50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D50D7"/>
  </w:style>
  <w:style w:type="table" w:styleId="TableGrid">
    <w:name w:val="Table Grid"/>
    <w:basedOn w:val="TableNormal"/>
    <w:uiPriority w:val="59"/>
    <w:rsid w:val="00BD50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8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07B4-73E0-458F-A631-BFA9CD9A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Nicoleta Bodo</cp:lastModifiedBy>
  <cp:revision>9</cp:revision>
  <cp:lastPrinted>2024-12-17T12:14:00Z</cp:lastPrinted>
  <dcterms:created xsi:type="dcterms:W3CDTF">2024-09-19T08:04:00Z</dcterms:created>
  <dcterms:modified xsi:type="dcterms:W3CDTF">2024-12-17T12:14:00Z</dcterms:modified>
</cp:coreProperties>
</file>